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40" w:lineRule="atLeast"/>
              <w:jc w:val="distribute"/>
              <w:rPr>
                <w:rFonts w:ascii="宋体" w:hAnsi="宋体"/>
                <w:b/>
                <w:color w:val="FF0000"/>
                <w:w w:val="90"/>
                <w:sz w:val="84"/>
                <w:szCs w:val="84"/>
              </w:rPr>
            </w:pPr>
            <w:bookmarkStart w:id="0" w:name="文件编号"/>
            <w:r>
              <w:rPr>
                <w:rFonts w:hint="eastAsia" w:ascii="宋体" w:hAnsi="宋体"/>
                <w:b/>
                <w:color w:val="FF0000"/>
                <w:w w:val="90"/>
                <w:sz w:val="84"/>
                <w:szCs w:val="84"/>
                <w:lang w:eastAsia="zh-CN"/>
              </w:rPr>
              <w:t>厦门演艺职业学院</w:t>
            </w:r>
            <w:r>
              <w:rPr>
                <w:rFonts w:hint="eastAsia" w:ascii="宋体" w:hAnsi="宋体"/>
                <w:b/>
                <w:color w:val="FF0000"/>
                <w:w w:val="90"/>
                <w:sz w:val="84"/>
                <w:szCs w:val="84"/>
              </w:rPr>
              <w:t>文件</w:t>
            </w:r>
          </w:p>
          <w:p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bookmarkEnd w:id="0"/>
          <w:p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245745</wp:posOffset>
                      </wp:positionV>
                      <wp:extent cx="6286500" cy="635"/>
                      <wp:effectExtent l="0" t="19050" r="0" b="3746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635"/>
                              </a:xfrm>
                              <a:prstGeom prst="straightConnector1">
                                <a:avLst/>
                              </a:prstGeom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8pt;margin-top:19.35pt;height:0.05pt;width:495pt;z-index:251664384;mso-width-relative:page;mso-height-relative:page;" filled="f" stroked="t" coordsize="21600,21600" o:gfxdata="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lytP9kA&#10;AAAJAQAADwAAAAAAAAABACAAAAAiAAAAZHJzL2Rvd25yZXYueG1sUEsBAhQAFAAAAAgAh07iQP1w&#10;X+/lAQAAoQMAAA4AAAAAAAAAAQAgAAAAKAEAAGRycy9lMm9Eb2MueG1sUEsFBgAAAAAGAAYAWQEA&#10;AH8FAAAAAA==&#10;">
                      <v:fill on="f" focussize="0,0"/>
                      <v:stroke weight="3pt" color="#FF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sz w:val="44"/>
                <w:szCs w:val="44"/>
              </w:rPr>
            </w:pPr>
          </w:p>
          <w:tbl>
            <w:tblPr>
              <w:tblStyle w:val="2"/>
              <w:tblW w:w="5000" w:type="pct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vAlign w:val="center"/>
                </w:tcPr>
                <w:p>
                  <w:pPr>
                    <w:jc w:val="both"/>
                    <w:rPr>
                      <w:rFonts w:hint="eastAsia" w:asciiTheme="majorEastAsia" w:hAnsiTheme="majorEastAsia" w:eastAsiaTheme="majorEastAsia" w:cstheme="majorEastAsia"/>
                      <w:b/>
                      <w:sz w:val="44"/>
                      <w:szCs w:val="44"/>
                    </w:rPr>
                  </w:pPr>
                </w:p>
                <w:p>
                  <w:pPr>
                    <w:jc w:val="center"/>
                    <w:rPr>
                      <w:rFonts w:hint="eastAsia" w:asciiTheme="majorEastAsia" w:hAnsiTheme="majorEastAsia" w:eastAsiaTheme="majorEastAsia" w:cstheme="majorEastAsia"/>
                      <w:b/>
                      <w:sz w:val="44"/>
                      <w:szCs w:val="4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sz w:val="44"/>
                      <w:szCs w:val="44"/>
                    </w:rPr>
                    <w:t>厦门演艺职业学院</w:t>
                  </w:r>
                </w:p>
                <w:p>
                  <w:pPr>
                    <w:jc w:val="center"/>
                    <w:rPr>
                      <w:rFonts w:hint="eastAsia" w:asciiTheme="majorEastAsia" w:hAnsiTheme="majorEastAsia" w:eastAsiaTheme="majorEastAsia" w:cstheme="majorEastAsia"/>
                      <w:b/>
                      <w:sz w:val="44"/>
                      <w:szCs w:val="44"/>
                      <w:lang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kern w:val="0"/>
                      <w:sz w:val="44"/>
                      <w:szCs w:val="44"/>
                    </w:rPr>
                    <w:t>学术不端行为查处</w:t>
                  </w: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kern w:val="0"/>
                      <w:sz w:val="44"/>
                      <w:szCs w:val="44"/>
                      <w:lang w:eastAsia="zh-CN"/>
                    </w:rPr>
                    <w:t>规定</w:t>
                  </w:r>
                  <w:bookmarkStart w:id="1" w:name="_GoBack"/>
                  <w:bookmarkEnd w:id="1"/>
                </w:p>
                <w:tbl>
                  <w:tblPr>
                    <w:tblStyle w:val="2"/>
                    <w:tblW w:w="5000" w:type="pct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06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0" w:type="auto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="宋体" w:hAnsi="宋体" w:eastAsia="宋体" w:cs="宋体"/>
                            <w:b/>
                            <w:bCs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spacing w:line="400" w:lineRule="atLeas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Align w:val="center"/>
          </w:tcPr>
          <w:p>
            <w:pPr>
              <w:widowControl/>
              <w:spacing w:before="200" w:after="200" w:line="480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第一章总则</w:t>
            </w:r>
          </w:p>
          <w:p>
            <w:pPr>
              <w:widowControl/>
              <w:spacing w:before="100" w:beforeAutospacing="1" w:after="63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第一条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学术道德是科学研究的基本伦理规范，是提高学术水平和研究能力的重要保证。为弘扬我校优良的学术传统，进一步规范学术行为，严明学术纪律，根据有关法律法规和有关文件精神，结合我校实际，特制定本规范。</w:t>
            </w:r>
          </w:p>
          <w:p>
            <w:pPr>
              <w:widowControl/>
              <w:spacing w:before="100" w:beforeAutospacing="1" w:after="63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第二条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本规范适用于在学术活动（申报课题、科学研究、报告研究结果和评价学术成果等）中学校在职的教职员工、访问学者和进修教师，以及以厦门演艺职业学院名义从事学术活动的其他人员。</w:t>
            </w:r>
          </w:p>
          <w:p>
            <w:pPr>
              <w:widowControl/>
              <w:spacing w:before="200" w:after="200" w:line="480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第二章学术道德规范</w:t>
            </w:r>
          </w:p>
          <w:p>
            <w:pPr>
              <w:widowControl/>
              <w:spacing w:before="100" w:beforeAutospacing="1" w:after="63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第三条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从事学术活动应牢固树立实事求是的科学精神，自觉遵守《中华人民共和国著作权法》、《中华人民共和国专利法》等有关法律法规，遵守社会公德，并遵守下述规范：</w:t>
            </w:r>
          </w:p>
          <w:p>
            <w:pPr>
              <w:widowControl/>
              <w:spacing w:before="100" w:beforeAutospacing="1" w:after="63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1.学术研究若涉及到他人已有研究成果，应充分尊重他人知识产权。正确对待学术荣誉，尊重他人学术成果，反对抄袭剽窃，反对伪造、篡改文献资料、实验数据，自觉营造良好学术风气，勇于承担学术责任。</w:t>
            </w:r>
          </w:p>
          <w:p>
            <w:pPr>
              <w:widowControl/>
              <w:spacing w:before="100" w:beforeAutospacing="1" w:after="63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2.在学术成果中引用他人成果，必须注明出处；被引用部分不能构成引用人作品的主要部分或者实质部分；从他人作品中转引第三人成果，应注明转引出处；参照而未引用他人成果，或受别人成果启发而未直接使用他人成果，也应做出说明并列出参考文献。</w:t>
            </w:r>
          </w:p>
          <w:p>
            <w:pPr>
              <w:widowControl/>
              <w:spacing w:before="100" w:beforeAutospacing="1" w:after="63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3.学术成果应遵守国家有关规定，通过正规渠道予以发表。</w:t>
            </w:r>
          </w:p>
          <w:p>
            <w:pPr>
              <w:widowControl/>
              <w:spacing w:before="100" w:beforeAutospacing="1" w:after="63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4.合作的学术成果除另有约定者，应按照在学术成果产生过程中所做贡献大小的原则确定署名先后。所有署名作者应对自己完成的部分负责，其中第一署名作者和通讯作者应对整篇论文或著作负责。学生为第一作者而指导教师为合作者的研究成果，指导教师应负主要责任。</w:t>
            </w:r>
          </w:p>
          <w:p>
            <w:pPr>
              <w:widowControl/>
              <w:spacing w:before="100" w:beforeAutospacing="1" w:after="63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5.凡接受合法资助的研究项目，其最终成果的内容和形式应与项目申请书和立项通知相一致；若需变动，应事先征得资助方和项目批准方的同意。研究成果发表时，应按照要求标注项目来源、资助单位和项目批号。</w:t>
            </w:r>
          </w:p>
          <w:p>
            <w:pPr>
              <w:widowControl/>
              <w:spacing w:before="100" w:beforeAutospacing="1" w:after="63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6.不得利用职务便利或学术地位，学术评议、评审权力，为个人或单位谋取不正当利益。</w:t>
            </w:r>
          </w:p>
          <w:p>
            <w:pPr>
              <w:widowControl/>
              <w:spacing w:before="100" w:beforeAutospacing="1" w:after="63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 xml:space="preserve">7.不参加与本人专业领域不相干的成果鉴定、论文评阅或学位论文答辩等活动。 </w:t>
            </w:r>
          </w:p>
          <w:p>
            <w:pPr>
              <w:widowControl/>
              <w:spacing w:before="100" w:beforeAutospacing="1" w:after="63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8.在学术评价中应牢固树立实事求是的科学精神，坚持客观、公正、科学的原则，坚持同行专家评价和回避制度。在对自己或他人的成果进行评价时，不徇私情，杜绝权学、钱学交易等腐败行为。评价机构和评价专家要对其评价意见负责，涉密的应该保密，对不当评价、虚假评价、泄密、披露不实信息或恶意中伤等造成的后果承担责任。评价意见措辞要严谨、准确，慎用“原创、首创、首次、国际领先、填补重大空白”等词语。</w:t>
            </w:r>
          </w:p>
          <w:p>
            <w:pPr>
              <w:widowControl/>
              <w:spacing w:before="100" w:beforeAutospacing="1" w:after="63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 xml:space="preserve">9.进行国际交流与合作时，应遵守相关的法律、法规、规章和国家政策的规定。 </w:t>
            </w:r>
          </w:p>
          <w:p>
            <w:pPr>
              <w:widowControl/>
              <w:spacing w:before="100" w:beforeAutospacing="1" w:after="63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第四条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凡有下列行为之一者被视为构成学术不端行为：</w:t>
            </w:r>
          </w:p>
          <w:p>
            <w:pPr>
              <w:widowControl/>
              <w:spacing w:before="240" w:after="240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1.剽窃、抄袭他人学术成果；</w:t>
            </w:r>
          </w:p>
          <w:p>
            <w:pPr>
              <w:widowControl/>
              <w:spacing w:before="240" w:after="240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2.篡改他人研究成果；</w:t>
            </w:r>
          </w:p>
          <w:p>
            <w:pPr>
              <w:widowControl/>
              <w:spacing w:before="240" w:after="240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3.伪造科研数据、资料、文献、注释，或者捏造事实、编造虚假研究成果；</w:t>
            </w:r>
          </w:p>
          <w:p>
            <w:pPr>
              <w:widowControl/>
              <w:spacing w:before="240" w:after="240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4.未参加研究或创作而在研究成果、学术论文上署名，未经他人许可而不当使用他人署名，或者多人共同完成研究而在成果中未注明他人工作；</w:t>
            </w:r>
          </w:p>
          <w:p>
            <w:pPr>
              <w:widowControl/>
              <w:spacing w:before="240" w:after="240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5.在申报课题、成果、奖励和职务评审评定等过程中提供虚假学术信息；</w:t>
            </w:r>
          </w:p>
          <w:p>
            <w:pPr>
              <w:widowControl/>
              <w:spacing w:before="240" w:after="240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6.有偿发表论文、买卖论文、由他人代写或为他人代写论文的；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7.其他严重违反公认的学术准则、违背学术诚信的行为，根据相关学术组织或者高等学校制定的规则，属于学术不端行为的。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 xml:space="preserve">第五条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有学术不端行为且有下列情形之一的，应当认定为情节严重：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1.造成恶劣影响的；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2.存在利益输送或者利益交换的；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3.对举报人进行打击报复的；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4.有组织实施学术不端行为的；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5.多次实施学术不端行为的。</w:t>
            </w:r>
          </w:p>
          <w:p>
            <w:pPr>
              <w:widowControl/>
              <w:spacing w:before="200" w:after="200" w:line="480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第三章惩处</w:t>
            </w:r>
          </w:p>
          <w:p>
            <w:pPr>
              <w:widowControl/>
              <w:spacing w:before="100" w:beforeAutospacing="1" w:after="63" w:line="480" w:lineRule="auto"/>
              <w:ind w:firstLine="363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第六条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有上述违反学术道德规范的我校教职员工，经查实，应对由此产生的影响和损失承担责任。学校视情节严重程度，对当事人分别给予如下处理：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1.通报批评；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2.终止或者撤销相关的科研项目，撤销学术奖励、荣誉称号，并在一定期限内取消申请资格；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3.警告、记过；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4.降低专业技术职务等级、撤销专业技术职务或行政职务；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5.开除或解聘；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6.法律、法规及规章规定的其他处理措施。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认定为学术不端行为且情节严重的，对责任人给予第4项或第5项规定的处理。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学生有学术不端行为的，还应当按照学生管理的相关规定，给予相应的学籍处分。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第七条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校学术委员会负责评估学校学术道德方面的方针、政策和存在的问题，对本规范适应对象的学术道德问题进行独立调查，并向校长办公会提供明确调查的结论和处理建议。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第八条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校学术委员会办公室（挂靠在教务科研处）负责受理对学术道德问题的举报。学术委员会办公室应在接到举报后五个工作日内，会同该学科的学术委员会委员和所在系部共同讨论，并听取被举报人的申辩、解释，然后决定是否对该项举报正式立项调查。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第九条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对正式列入调查的举报，由学术委员会办公室通知被举报人，并请相关院部学术委员在一个月内，对有关事实和结论进行认定。如有必要，可分别通知举报人、被举报人和证人到会说明情况或提供证据。如果调查对象涉及院部负责人或学术委员会成员，学术委员会主任可指定专门工作小组对举报事实和结论进行认定。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第十条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学术委员会委员涉及学术道德问题，或与当事人有近亲属关系，应主动回避，退出调查。当事人有充足的理由证明上述人员与自己有特殊利益关系，不宜参加调查，经学术委员会主任批准，可以要求相关人士回避。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第十一条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学术委员会办公室在受理举报过程中，必须采取适当措施，保护举报人和证人。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第十二条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学术委员会办公室将审议处理结果书面通知举报人和被举报人。如果被举报人对审议结果不满，可要求学术委员会举行公开听证，重新审议。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第十三条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校长办公会根据学术委员会的建议，正式决定给予当事人行政处分。并撤销所有通过该项违反学术道德行为而获得的奖励或其他资格。如当事人的行为侵犯其他个人或单位的权益，在给予行政处分的同时，可责令其向有关个人或单位公开赔礼道歉，补偿损失。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第十四条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处分应制作处分决定书，并送达当事人，当事人在收到处分决定书后30日内，可向上一级主管机关提出申诉，申诉期间内不停止处分决定的执行。处分决定应同时通知举报人。举报人如认为处分不妥，可在接到通知后30日内，向上一级有关主管机关提出异议。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第十五条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在校长办公会做出处分或组织处理的决定以前，除非公开听证，一切程序和资料均应保密，所有涉及人员不得泄露调查和处理情况。</w:t>
            </w:r>
          </w:p>
          <w:p>
            <w:pPr>
              <w:widowControl/>
              <w:snapToGrid w:val="0"/>
              <w:spacing w:before="100" w:beforeAutospacing="1" w:after="63" w:line="480" w:lineRule="auto"/>
              <w:ind w:firstLine="363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第四章附则</w:t>
            </w:r>
          </w:p>
          <w:p>
            <w:pPr>
              <w:widowControl/>
              <w:spacing w:before="100" w:line="480" w:lineRule="auto"/>
              <w:ind w:firstLine="363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第十六条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本规范由校教务科研处负责解释。</w:t>
            </w:r>
          </w:p>
          <w:p>
            <w:pPr>
              <w:widowControl/>
              <w:spacing w:before="100" w:line="480" w:lineRule="auto"/>
              <w:ind w:firstLine="363"/>
              <w:jc w:val="righ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 xml:space="preserve">   厦门演艺职业学院</w:t>
            </w:r>
          </w:p>
          <w:p>
            <w:pPr>
              <w:widowControl/>
              <w:spacing w:after="138"/>
              <w:ind w:firstLine="480"/>
              <w:jc w:val="righ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 xml:space="preserve">                                  2013年11月20日制定</w:t>
            </w:r>
          </w:p>
          <w:p>
            <w:pPr>
              <w:widowControl/>
              <w:spacing w:after="138"/>
              <w:ind w:firstLine="480"/>
              <w:jc w:val="righ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 xml:space="preserve">                                   2019年3月18日修订</w:t>
            </w:r>
          </w:p>
          <w:p>
            <w:pPr>
              <w:widowControl/>
              <w:spacing w:before="100" w:line="480" w:lineRule="auto"/>
              <w:ind w:firstLine="363"/>
              <w:jc w:val="left"/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D5"/>
    <w:rsid w:val="005E2D69"/>
    <w:rsid w:val="00DC5B89"/>
    <w:rsid w:val="00F12CD5"/>
    <w:rsid w:val="01131879"/>
    <w:rsid w:val="06D23B78"/>
    <w:rsid w:val="496B58E1"/>
    <w:rsid w:val="59C4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5">
    <w:name w:val="column_nam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411</Words>
  <Characters>2345</Characters>
  <Lines>19</Lines>
  <Paragraphs>5</Paragraphs>
  <TotalTime>1</TotalTime>
  <ScaleCrop>false</ScaleCrop>
  <LinksUpToDate>false</LinksUpToDate>
  <CharactersWithSpaces>2751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2020-11-11T07:59:00Z</dcterms:created>
  <dc:creator>Administrator</dc:creator>
  <cp:lastModifiedBy>Administrator</cp:lastModifiedBy>
  <dcterms:modified xsi:type="dcterms:W3CDTF">2020-11-12T02:58:50Z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